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2146" w14:textId="095AA65E" w:rsidR="00FA1AC0" w:rsidRDefault="007823DE" w:rsidP="00F750D2">
      <w:pPr>
        <w:spacing w:after="0" w:line="240" w:lineRule="auto"/>
        <w:jc w:val="center"/>
        <w:rPr>
          <w:rFonts w:ascii="Times" w:eastAsia="Times" w:hAnsi="Times" w:cs="Times"/>
          <w:b/>
          <w:bCs/>
          <w:sz w:val="28"/>
          <w:szCs w:val="28"/>
        </w:rPr>
      </w:pPr>
      <w:r>
        <w:rPr>
          <w:rFonts w:ascii="Times" w:eastAsia="Times" w:hAnsi="Times" w:cs="Times"/>
          <w:b/>
          <w:bCs/>
          <w:sz w:val="28"/>
          <w:szCs w:val="28"/>
        </w:rPr>
        <w:t xml:space="preserve">Technical Assistance </w:t>
      </w:r>
      <w:r w:rsidR="000932BD">
        <w:rPr>
          <w:rFonts w:ascii="Times" w:eastAsia="Times" w:hAnsi="Times" w:cs="Times"/>
          <w:b/>
          <w:bCs/>
          <w:sz w:val="28"/>
          <w:szCs w:val="28"/>
        </w:rPr>
        <w:t>Chang</w:t>
      </w:r>
      <w:r w:rsidR="009D7B43">
        <w:rPr>
          <w:rFonts w:ascii="Times" w:eastAsia="Times" w:hAnsi="Times" w:cs="Times"/>
          <w:b/>
          <w:bCs/>
          <w:sz w:val="28"/>
          <w:szCs w:val="28"/>
        </w:rPr>
        <w:t xml:space="preserve">e </w:t>
      </w:r>
      <w:r w:rsidR="002E7AA6">
        <w:rPr>
          <w:rFonts w:ascii="Times" w:eastAsia="Times" w:hAnsi="Times" w:cs="Times"/>
          <w:b/>
          <w:bCs/>
          <w:sz w:val="28"/>
          <w:szCs w:val="28"/>
        </w:rPr>
        <w:t>Process</w:t>
      </w:r>
      <w:r w:rsidR="0032700E">
        <w:rPr>
          <w:rFonts w:ascii="Times" w:eastAsia="Times" w:hAnsi="Times" w:cs="Times"/>
          <w:b/>
          <w:bCs/>
          <w:sz w:val="28"/>
          <w:szCs w:val="28"/>
        </w:rPr>
        <w:t xml:space="preserve"> and Reflective Practice</w:t>
      </w:r>
      <w:r>
        <w:rPr>
          <w:rFonts w:ascii="Times" w:eastAsia="Times" w:hAnsi="Times" w:cs="Times"/>
          <w:b/>
          <w:bCs/>
          <w:sz w:val="28"/>
          <w:szCs w:val="28"/>
        </w:rPr>
        <w:t xml:space="preserve"> Assessment (Level </w:t>
      </w:r>
      <w:r w:rsidR="008734DB">
        <w:rPr>
          <w:rFonts w:ascii="Times" w:eastAsia="Times" w:hAnsi="Times" w:cs="Times"/>
          <w:b/>
          <w:bCs/>
          <w:sz w:val="28"/>
          <w:szCs w:val="28"/>
        </w:rPr>
        <w:t>4</w:t>
      </w:r>
      <w:r w:rsidR="5D8D1D39" w:rsidRPr="5D8D1D39">
        <w:rPr>
          <w:rFonts w:ascii="Times" w:eastAsia="Times" w:hAnsi="Times" w:cs="Times"/>
          <w:b/>
          <w:bCs/>
          <w:sz w:val="28"/>
          <w:szCs w:val="28"/>
        </w:rPr>
        <w:t>)</w:t>
      </w:r>
    </w:p>
    <w:p w14:paraId="1CD6534D" w14:textId="752B890D" w:rsidR="007823DE" w:rsidRDefault="007823DE" w:rsidP="007823DE">
      <w:pPr>
        <w:spacing w:after="0" w:line="240" w:lineRule="auto"/>
        <w:jc w:val="center"/>
        <w:rPr>
          <w:rFonts w:ascii="Times New Roman" w:hAnsi="Times New Roman" w:cs="Times New Roman"/>
          <w:b/>
          <w:sz w:val="24"/>
          <w:szCs w:val="24"/>
        </w:rPr>
      </w:pPr>
      <w:r>
        <w:rPr>
          <w:rFonts w:ascii="Times" w:eastAsia="Times" w:hAnsi="Times" w:cs="Times"/>
          <w:b/>
          <w:bCs/>
          <w:sz w:val="28"/>
          <w:szCs w:val="28"/>
        </w:rPr>
        <w:t>Change Model Resource File</w:t>
      </w:r>
    </w:p>
    <w:p w14:paraId="31AC48E1"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598" w:type="dxa"/>
        <w:tblLook w:val="04A0" w:firstRow="1" w:lastRow="0" w:firstColumn="1" w:lastColumn="0" w:noHBand="0" w:noVBand="1"/>
      </w:tblPr>
      <w:tblGrid>
        <w:gridCol w:w="4158"/>
        <w:gridCol w:w="10440"/>
      </w:tblGrid>
      <w:tr w:rsidR="007823DE" w:rsidRPr="00653475" w14:paraId="7082F170" w14:textId="77777777" w:rsidTr="000C0280">
        <w:tc>
          <w:tcPr>
            <w:tcW w:w="4158" w:type="dxa"/>
          </w:tcPr>
          <w:p w14:paraId="3D324E8F" w14:textId="77777777" w:rsidR="007823DE" w:rsidRPr="00653475" w:rsidRDefault="007823DE" w:rsidP="000C0280">
            <w:pPr>
              <w:jc w:val="center"/>
              <w:rPr>
                <w:rFonts w:ascii="Times New Roman" w:hAnsi="Times New Roman" w:cs="Times New Roman"/>
                <w:b/>
                <w:sz w:val="24"/>
              </w:rPr>
            </w:pPr>
            <w:r w:rsidRPr="00653475">
              <w:rPr>
                <w:rFonts w:ascii="Times New Roman" w:eastAsia="Times" w:hAnsi="Times New Roman" w:cs="Times New Roman"/>
                <w:b/>
                <w:bCs/>
                <w:sz w:val="24"/>
              </w:rPr>
              <w:t>TA Competencies</w:t>
            </w:r>
          </w:p>
        </w:tc>
        <w:tc>
          <w:tcPr>
            <w:tcW w:w="10440" w:type="dxa"/>
          </w:tcPr>
          <w:p w14:paraId="4DFCA641" w14:textId="0270DE3F" w:rsidR="007823DE" w:rsidRPr="00653475" w:rsidRDefault="007823DE" w:rsidP="007823DE">
            <w:pPr>
              <w:rPr>
                <w:rFonts w:ascii="Times New Roman" w:hAnsi="Times New Roman" w:cs="Times New Roman"/>
                <w:sz w:val="24"/>
              </w:rPr>
            </w:pPr>
            <w:r>
              <w:rPr>
                <w:rFonts w:ascii="Times New Roman" w:hAnsi="Times New Roman" w:cs="Times New Roman"/>
                <w:sz w:val="24"/>
              </w:rPr>
              <w:t>TACP1, TACP2, TARP1, TARP2</w:t>
            </w:r>
          </w:p>
        </w:tc>
      </w:tr>
      <w:tr w:rsidR="007823DE" w:rsidRPr="00653475" w14:paraId="6A52370C" w14:textId="77777777" w:rsidTr="000C0280">
        <w:tc>
          <w:tcPr>
            <w:tcW w:w="4158" w:type="dxa"/>
          </w:tcPr>
          <w:p w14:paraId="6A75501E" w14:textId="77777777" w:rsidR="007823DE" w:rsidRPr="00653475" w:rsidRDefault="007823DE" w:rsidP="000C0280">
            <w:pPr>
              <w:jc w:val="center"/>
              <w:rPr>
                <w:rFonts w:ascii="Times New Roman" w:hAnsi="Times New Roman" w:cs="Times New Roman"/>
                <w:b/>
                <w:sz w:val="24"/>
              </w:rPr>
            </w:pPr>
            <w:r w:rsidRPr="00653475">
              <w:rPr>
                <w:rFonts w:ascii="Times New Roman" w:eastAsia="Times" w:hAnsi="Times New Roman" w:cs="Times New Roman"/>
                <w:b/>
                <w:bCs/>
                <w:sz w:val="24"/>
              </w:rPr>
              <w:t>Original Gateways TA Benchmarks</w:t>
            </w:r>
          </w:p>
        </w:tc>
        <w:tc>
          <w:tcPr>
            <w:tcW w:w="10440" w:type="dxa"/>
          </w:tcPr>
          <w:p w14:paraId="318F879C" w14:textId="6A196035" w:rsidR="007823DE" w:rsidRPr="00653475" w:rsidRDefault="007823DE" w:rsidP="007823DE">
            <w:pPr>
              <w:ind w:left="432" w:hanging="432"/>
              <w:rPr>
                <w:rFonts w:ascii="Times New Roman" w:hAnsi="Times New Roman" w:cs="Times New Roman"/>
                <w:sz w:val="24"/>
              </w:rPr>
            </w:pPr>
            <w:r>
              <w:rPr>
                <w:rFonts w:ascii="Times New Roman" w:hAnsi="Times New Roman" w:cs="Times New Roman"/>
                <w:sz w:val="24"/>
              </w:rPr>
              <w:t xml:space="preserve">CP1, CP2, CP3, CP4, RP1, RP4, RP7  </w:t>
            </w:r>
          </w:p>
        </w:tc>
      </w:tr>
    </w:tbl>
    <w:p w14:paraId="3945B5C1" w14:textId="77777777" w:rsidR="00302375" w:rsidRPr="003C5454" w:rsidRDefault="00302375" w:rsidP="003C5454">
      <w:pPr>
        <w:spacing w:after="0" w:line="240" w:lineRule="auto"/>
        <w:rPr>
          <w:rFonts w:ascii="Times New Roman" w:hAnsi="Times New Roman" w:cs="Times New Roman"/>
          <w:b/>
          <w:sz w:val="16"/>
          <w:szCs w:val="16"/>
        </w:rPr>
      </w:pPr>
    </w:p>
    <w:p w14:paraId="425A8A8D" w14:textId="77777777" w:rsidR="00560E13" w:rsidRDefault="00560E13" w:rsidP="00560E13">
      <w:pPr>
        <w:spacing w:after="0" w:line="240" w:lineRule="auto"/>
        <w:rPr>
          <w:rFonts w:ascii="Times New Roman" w:hAnsi="Times New Roman" w:cs="Times New Roman"/>
          <w:b/>
        </w:rPr>
      </w:pPr>
    </w:p>
    <w:p w14:paraId="4D9B12BB" w14:textId="22877807" w:rsidR="007B4CB6" w:rsidRPr="007823DE" w:rsidRDefault="007823DE" w:rsidP="007823DE">
      <w:pPr>
        <w:jc w:val="center"/>
        <w:outlineLvl w:val="0"/>
        <w:rPr>
          <w:rFonts w:ascii="Times" w:hAnsi="Times"/>
          <w:b/>
          <w:color w:val="000000"/>
        </w:rPr>
      </w:pPr>
      <w:r>
        <w:rPr>
          <w:rFonts w:ascii="Times" w:hAnsi="Times" w:cs="Arial"/>
          <w:b/>
          <w:color w:val="000000"/>
        </w:rPr>
        <w:t>Assessment Guidelines</w:t>
      </w:r>
      <w:bookmarkStart w:id="0" w:name="_GoBack"/>
      <w:bookmarkEnd w:id="0"/>
    </w:p>
    <w:p w14:paraId="4BF10CD7" w14:textId="7864C73D" w:rsidR="007B4CB6" w:rsidRDefault="000932BD" w:rsidP="007B4CB6">
      <w:pPr>
        <w:pStyle w:val="ListParagraph"/>
        <w:numPr>
          <w:ilvl w:val="0"/>
          <w:numId w:val="29"/>
        </w:numPr>
        <w:rPr>
          <w:rFonts w:ascii="Times New Roman" w:hAnsi="Times New Roman" w:cs="Times New Roman"/>
          <w:sz w:val="24"/>
          <w:szCs w:val="24"/>
        </w:rPr>
      </w:pPr>
      <w:r w:rsidRPr="00EA7468">
        <w:rPr>
          <w:rFonts w:ascii="Times New Roman" w:hAnsi="Times New Roman" w:cs="Times New Roman"/>
          <w:sz w:val="24"/>
          <w:szCs w:val="24"/>
        </w:rPr>
        <w:t>Select a s</w:t>
      </w:r>
      <w:r w:rsidR="007B4CB6" w:rsidRPr="00EA7468">
        <w:rPr>
          <w:rFonts w:ascii="Times New Roman" w:hAnsi="Times New Roman" w:cs="Times New Roman"/>
          <w:sz w:val="24"/>
          <w:szCs w:val="24"/>
        </w:rPr>
        <w:t>pecific change model</w:t>
      </w:r>
      <w:r w:rsidR="00EA7468" w:rsidRPr="00EA7468">
        <w:rPr>
          <w:rFonts w:ascii="Times New Roman" w:hAnsi="Times New Roman" w:cs="Times New Roman"/>
          <w:sz w:val="24"/>
          <w:szCs w:val="24"/>
        </w:rPr>
        <w:t xml:space="preserve"> (</w:t>
      </w:r>
      <w:proofErr w:type="spellStart"/>
      <w:r w:rsidR="00EA7468" w:rsidRPr="00EA7468">
        <w:rPr>
          <w:rFonts w:ascii="Times New Roman" w:hAnsi="Times New Roman" w:cs="Times New Roman"/>
          <w:sz w:val="24"/>
          <w:szCs w:val="24"/>
        </w:rPr>
        <w:t>Lewin</w:t>
      </w:r>
      <w:proofErr w:type="spellEnd"/>
      <w:r w:rsidR="00EA7468" w:rsidRPr="00EA7468">
        <w:rPr>
          <w:rFonts w:ascii="Times New Roman" w:hAnsi="Times New Roman" w:cs="Times New Roman"/>
          <w:sz w:val="24"/>
          <w:szCs w:val="24"/>
        </w:rPr>
        <w:t xml:space="preserve">, Rogers, </w:t>
      </w:r>
      <w:proofErr w:type="spellStart"/>
      <w:r w:rsidR="00EA7468" w:rsidRPr="00EA7468">
        <w:rPr>
          <w:rFonts w:ascii="Times New Roman" w:hAnsi="Times New Roman" w:cs="Times New Roman"/>
          <w:sz w:val="24"/>
          <w:szCs w:val="24"/>
        </w:rPr>
        <w:t>Kotter</w:t>
      </w:r>
      <w:proofErr w:type="spellEnd"/>
      <w:r w:rsidR="00EA7468" w:rsidRPr="00EA7468">
        <w:rPr>
          <w:rFonts w:ascii="Times New Roman" w:hAnsi="Times New Roman" w:cs="Times New Roman"/>
          <w:sz w:val="24"/>
          <w:szCs w:val="24"/>
        </w:rPr>
        <w:t xml:space="preserve">, </w:t>
      </w:r>
      <w:proofErr w:type="spellStart"/>
      <w:proofErr w:type="gramStart"/>
      <w:r w:rsidR="00EA7468" w:rsidRPr="00EA7468">
        <w:rPr>
          <w:rFonts w:ascii="Times New Roman" w:hAnsi="Times New Roman" w:cs="Times New Roman"/>
          <w:sz w:val="24"/>
          <w:szCs w:val="24"/>
        </w:rPr>
        <w:t>Lippitt</w:t>
      </w:r>
      <w:proofErr w:type="spellEnd"/>
      <w:proofErr w:type="gramEnd"/>
      <w:r w:rsidR="00EA7468" w:rsidRPr="00EA7468">
        <w:rPr>
          <w:rFonts w:ascii="Times New Roman" w:hAnsi="Times New Roman" w:cs="Times New Roman"/>
          <w:sz w:val="24"/>
          <w:szCs w:val="24"/>
        </w:rPr>
        <w:t xml:space="preserve"> etc.).</w:t>
      </w:r>
      <w:r w:rsidR="007B4CB6" w:rsidRPr="00EA7468">
        <w:rPr>
          <w:rFonts w:ascii="Times New Roman" w:hAnsi="Times New Roman" w:cs="Times New Roman"/>
          <w:sz w:val="24"/>
          <w:szCs w:val="24"/>
        </w:rPr>
        <w:t xml:space="preserve"> Describe each component or stage of the model in the context of a current change example in a</w:t>
      </w:r>
      <w:r w:rsidR="00EA7468">
        <w:rPr>
          <w:rFonts w:ascii="Times New Roman" w:hAnsi="Times New Roman" w:cs="Times New Roman"/>
          <w:sz w:val="24"/>
          <w:szCs w:val="24"/>
        </w:rPr>
        <w:t>n</w:t>
      </w:r>
      <w:r w:rsidR="007B4CB6" w:rsidRPr="00EA7468">
        <w:rPr>
          <w:rFonts w:ascii="Times New Roman" w:hAnsi="Times New Roman" w:cs="Times New Roman"/>
          <w:sz w:val="24"/>
          <w:szCs w:val="24"/>
        </w:rPr>
        <w:t xml:space="preserve"> agency, center, school or family child care center you are serving. </w:t>
      </w:r>
      <w:r w:rsidR="0036197D">
        <w:rPr>
          <w:rFonts w:ascii="Times New Roman" w:hAnsi="Times New Roman" w:cs="Times New Roman"/>
          <w:sz w:val="24"/>
          <w:szCs w:val="24"/>
        </w:rPr>
        <w:t xml:space="preserve">Identify every specific group impacted by the change and how (i.e. children, parents, teachers, </w:t>
      </w:r>
      <w:proofErr w:type="spellStart"/>
      <w:r w:rsidR="0036197D">
        <w:rPr>
          <w:rFonts w:ascii="Times New Roman" w:hAnsi="Times New Roman" w:cs="Times New Roman"/>
          <w:sz w:val="24"/>
          <w:szCs w:val="24"/>
        </w:rPr>
        <w:t>para</w:t>
      </w:r>
      <w:proofErr w:type="spellEnd"/>
      <w:r w:rsidR="0036197D">
        <w:rPr>
          <w:rFonts w:ascii="Times New Roman" w:hAnsi="Times New Roman" w:cs="Times New Roman"/>
          <w:sz w:val="24"/>
          <w:szCs w:val="24"/>
        </w:rPr>
        <w:t>-professionals, staff, administration, community, agency or school leadership).</w:t>
      </w:r>
    </w:p>
    <w:p w14:paraId="6EE91AF8" w14:textId="0FDBB627" w:rsidR="00B506CB" w:rsidRPr="00EA7468" w:rsidRDefault="00B506CB" w:rsidP="007B4CB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Develop a resource file (electro</w:t>
      </w:r>
      <w:r w:rsidR="00AA5A34">
        <w:rPr>
          <w:rFonts w:ascii="Times New Roman" w:hAnsi="Times New Roman" w:cs="Times New Roman"/>
          <w:sz w:val="24"/>
          <w:szCs w:val="24"/>
        </w:rPr>
        <w:t>nic or hard copy) of at least 10</w:t>
      </w:r>
      <w:r>
        <w:rPr>
          <w:rFonts w:ascii="Times New Roman" w:hAnsi="Times New Roman" w:cs="Times New Roman"/>
          <w:sz w:val="24"/>
          <w:szCs w:val="24"/>
        </w:rPr>
        <w:t xml:space="preserve"> resources (books, articles, </w:t>
      </w:r>
      <w:proofErr w:type="gramStart"/>
      <w:r>
        <w:rPr>
          <w:rFonts w:ascii="Times New Roman" w:hAnsi="Times New Roman" w:cs="Times New Roman"/>
          <w:sz w:val="24"/>
          <w:szCs w:val="24"/>
        </w:rPr>
        <w:t>websites</w:t>
      </w:r>
      <w:proofErr w:type="gramEnd"/>
      <w:r>
        <w:rPr>
          <w:rFonts w:ascii="Times New Roman" w:hAnsi="Times New Roman" w:cs="Times New Roman"/>
          <w:sz w:val="24"/>
          <w:szCs w:val="24"/>
        </w:rPr>
        <w:t xml:space="preserve">) concerning the change process, responses to change, organizational change etc. Provide and annotated review of each resource, creating your own system of categorizing resources for future use and to build on in the future. </w:t>
      </w:r>
    </w:p>
    <w:p w14:paraId="1B5B8414" w14:textId="56647878" w:rsidR="0036197D" w:rsidRDefault="007B4CB6" w:rsidP="00893712">
      <w:pPr>
        <w:pStyle w:val="ListParagraph"/>
        <w:numPr>
          <w:ilvl w:val="0"/>
          <w:numId w:val="29"/>
        </w:numPr>
        <w:rPr>
          <w:rFonts w:ascii="Times New Roman" w:hAnsi="Times New Roman" w:cs="Times New Roman"/>
          <w:sz w:val="24"/>
          <w:szCs w:val="24"/>
        </w:rPr>
      </w:pPr>
      <w:r w:rsidRPr="00EA7468">
        <w:rPr>
          <w:rFonts w:ascii="Times New Roman" w:hAnsi="Times New Roman" w:cs="Times New Roman"/>
          <w:sz w:val="24"/>
          <w:szCs w:val="24"/>
        </w:rPr>
        <w:t xml:space="preserve">Based on your analysis of this issue, describe specific </w:t>
      </w:r>
      <w:r w:rsidR="00B506CB">
        <w:rPr>
          <w:rFonts w:ascii="Times New Roman" w:hAnsi="Times New Roman" w:cs="Times New Roman"/>
          <w:sz w:val="24"/>
          <w:szCs w:val="24"/>
        </w:rPr>
        <w:t>objectives (</w:t>
      </w:r>
      <w:r w:rsidR="002E7AA6">
        <w:rPr>
          <w:rFonts w:ascii="Times New Roman" w:hAnsi="Times New Roman" w:cs="Times New Roman"/>
          <w:sz w:val="24"/>
          <w:szCs w:val="24"/>
        </w:rPr>
        <w:t>per each step in your identified model)</w:t>
      </w:r>
      <w:r w:rsidRPr="00EA7468">
        <w:rPr>
          <w:rFonts w:ascii="Times New Roman" w:hAnsi="Times New Roman" w:cs="Times New Roman"/>
          <w:sz w:val="24"/>
          <w:szCs w:val="24"/>
        </w:rPr>
        <w:t xml:space="preserve"> </w:t>
      </w:r>
      <w:r w:rsidR="0036197D">
        <w:rPr>
          <w:rFonts w:ascii="Times New Roman" w:hAnsi="Times New Roman" w:cs="Times New Roman"/>
          <w:sz w:val="24"/>
          <w:szCs w:val="24"/>
        </w:rPr>
        <w:t>for preparing</w:t>
      </w:r>
      <w:r w:rsidRPr="00EA7468">
        <w:rPr>
          <w:rFonts w:ascii="Times New Roman" w:hAnsi="Times New Roman" w:cs="Times New Roman"/>
          <w:sz w:val="24"/>
          <w:szCs w:val="24"/>
        </w:rPr>
        <w:t xml:space="preserve"> and assist</w:t>
      </w:r>
      <w:r w:rsidR="0036197D">
        <w:rPr>
          <w:rFonts w:ascii="Times New Roman" w:hAnsi="Times New Roman" w:cs="Times New Roman"/>
          <w:sz w:val="24"/>
          <w:szCs w:val="24"/>
        </w:rPr>
        <w:t>ing</w:t>
      </w:r>
      <w:r w:rsidRPr="00EA7468">
        <w:rPr>
          <w:rFonts w:ascii="Times New Roman" w:hAnsi="Times New Roman" w:cs="Times New Roman"/>
          <w:sz w:val="24"/>
          <w:szCs w:val="24"/>
        </w:rPr>
        <w:t xml:space="preserve"> those impac</w:t>
      </w:r>
      <w:r w:rsidR="0036197D">
        <w:rPr>
          <w:rFonts w:ascii="Times New Roman" w:hAnsi="Times New Roman" w:cs="Times New Roman"/>
          <w:sz w:val="24"/>
          <w:szCs w:val="24"/>
        </w:rPr>
        <w:t xml:space="preserve">ted by the change to embrace it, sustain it </w:t>
      </w:r>
      <w:r w:rsidRPr="00EA7468">
        <w:rPr>
          <w:rFonts w:ascii="Times New Roman" w:hAnsi="Times New Roman" w:cs="Times New Roman"/>
          <w:sz w:val="24"/>
          <w:szCs w:val="24"/>
        </w:rPr>
        <w:t xml:space="preserve">and facilitate it. </w:t>
      </w:r>
    </w:p>
    <w:p w14:paraId="4F5A8D5F" w14:textId="1056B88B" w:rsidR="0036197D" w:rsidRDefault="00AA5A34" w:rsidP="0089371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With your mentor, set up a time to meet and</w:t>
      </w:r>
      <w:r w:rsidR="0036197D">
        <w:rPr>
          <w:rFonts w:ascii="Times New Roman" w:hAnsi="Times New Roman" w:cs="Times New Roman"/>
          <w:sz w:val="24"/>
          <w:szCs w:val="24"/>
        </w:rPr>
        <w:t xml:space="preserve"> review and provide feedback on your plan</w:t>
      </w:r>
    </w:p>
    <w:p w14:paraId="42536BA1" w14:textId="66E3AA4F" w:rsidR="00893712" w:rsidRPr="007823DE" w:rsidRDefault="0036197D" w:rsidP="007823D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Self-reflection</w:t>
      </w:r>
      <w:r w:rsidR="00B506CB">
        <w:rPr>
          <w:rFonts w:ascii="Times New Roman" w:hAnsi="Times New Roman" w:cs="Times New Roman"/>
          <w:sz w:val="24"/>
          <w:szCs w:val="24"/>
        </w:rPr>
        <w:t>- Develop a self-reflection on the feedback received. What did you miss at any specific step in the process? Was any constituent group missed, misrepresented, or minimized? What specific changes would you make to your plan incorporating the feedback received? How has this exercise impacted how you will approach change with groups or organizations in the future? How has it impacted how you define and initiate your role in facilitating and supporting organizational change?</w:t>
      </w:r>
    </w:p>
    <w:p w14:paraId="73ADC9E0" w14:textId="7A188F48" w:rsidR="007823DE" w:rsidRPr="007823DE" w:rsidRDefault="007823DE" w:rsidP="007823DE">
      <w:pPr>
        <w:ind w:left="360"/>
        <w:jc w:val="center"/>
        <w:outlineLvl w:val="0"/>
        <w:rPr>
          <w:rFonts w:ascii="Times" w:hAnsi="Times"/>
          <w:b/>
          <w:color w:val="000000"/>
        </w:rPr>
      </w:pPr>
      <w:r w:rsidRPr="00F005FA">
        <w:rPr>
          <w:rFonts w:ascii="Times" w:hAnsi="Times"/>
          <w:b/>
        </w:rPr>
        <w:t>A</w:t>
      </w:r>
      <w:r w:rsidRPr="00F005FA">
        <w:rPr>
          <w:rFonts w:ascii="Times" w:hAnsi="Times"/>
          <w:b/>
          <w:color w:val="000000"/>
        </w:rPr>
        <w:t xml:space="preserve">ssessment Rubric (pulled from </w:t>
      </w:r>
      <w:r>
        <w:rPr>
          <w:rFonts w:ascii="Times" w:hAnsi="Times"/>
          <w:b/>
          <w:color w:val="000000"/>
        </w:rPr>
        <w:t>TA</w:t>
      </w:r>
      <w:r w:rsidRPr="00F005FA">
        <w:rPr>
          <w:rFonts w:ascii="Times" w:hAnsi="Times"/>
          <w:b/>
          <w:color w:val="000000"/>
        </w:rPr>
        <w:t xml:space="preserve"> Master Rubrics)</w:t>
      </w:r>
    </w:p>
    <w:tbl>
      <w:tblPr>
        <w:tblW w:w="142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73"/>
        <w:gridCol w:w="2794"/>
        <w:gridCol w:w="2708"/>
        <w:gridCol w:w="2528"/>
        <w:gridCol w:w="2544"/>
        <w:gridCol w:w="1005"/>
        <w:gridCol w:w="7"/>
      </w:tblGrid>
      <w:tr w:rsidR="007823DE" w:rsidRPr="00B7781A" w14:paraId="350F818F" w14:textId="77777777" w:rsidTr="000C0280">
        <w:trPr>
          <w:trHeight w:val="80"/>
          <w:tblHeader/>
        </w:trPr>
        <w:tc>
          <w:tcPr>
            <w:tcW w:w="1425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4A51F" w14:textId="77777777" w:rsidR="007823DE" w:rsidRPr="00B7781A" w:rsidRDefault="007823DE" w:rsidP="000C0280">
            <w:pPr>
              <w:spacing w:after="0" w:line="240" w:lineRule="auto"/>
              <w:jc w:val="center"/>
              <w:rPr>
                <w:rFonts w:ascii="Times New Roman" w:eastAsia="Times" w:hAnsi="Times New Roman" w:cs="Times New Roman"/>
                <w:b/>
                <w:bCs/>
                <w:sz w:val="24"/>
                <w:szCs w:val="28"/>
              </w:rPr>
            </w:pPr>
            <w:r w:rsidRPr="00B7781A">
              <w:rPr>
                <w:rFonts w:ascii="Times New Roman" w:eastAsia="Times" w:hAnsi="Times New Roman" w:cs="Times New Roman"/>
                <w:b/>
                <w:bCs/>
                <w:sz w:val="24"/>
                <w:szCs w:val="28"/>
              </w:rPr>
              <w:t>Technical Assistance Change Process and Reflective Practice Assessment (Levels 4-6): Change Model Resource File Rubric</w:t>
            </w:r>
          </w:p>
        </w:tc>
      </w:tr>
      <w:tr w:rsidR="007823DE" w:rsidRPr="00B7781A" w14:paraId="0010C8A0" w14:textId="77777777" w:rsidTr="000C0280">
        <w:trPr>
          <w:gridAfter w:val="1"/>
          <w:wAfter w:w="7" w:type="dxa"/>
          <w:trHeight w:val="362"/>
          <w:tblHeader/>
        </w:trPr>
        <w:tc>
          <w:tcPr>
            <w:tcW w:w="2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EEA28FC"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Competency</w:t>
            </w:r>
          </w:p>
        </w:tc>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83323CF"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Distinguished</w:t>
            </w:r>
          </w:p>
        </w:tc>
        <w:tc>
          <w:tcPr>
            <w:tcW w:w="2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CF1BB5B"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Proficient</w:t>
            </w:r>
          </w:p>
        </w:tc>
        <w:tc>
          <w:tcPr>
            <w:tcW w:w="2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0AD4EE7"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Needs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3B8BA48"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Unsatisfactory</w:t>
            </w:r>
          </w:p>
        </w:tc>
        <w:tc>
          <w:tcPr>
            <w:tcW w:w="10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0CEFEC5" w14:textId="77777777" w:rsidR="007823DE" w:rsidRPr="00B7781A" w:rsidRDefault="007823DE" w:rsidP="000C0280">
            <w:pPr>
              <w:pStyle w:val="Body"/>
              <w:keepNext/>
              <w:keepLines/>
              <w:spacing w:after="0" w:line="240" w:lineRule="auto"/>
              <w:jc w:val="center"/>
              <w:outlineLvl w:val="3"/>
              <w:rPr>
                <w:rFonts w:ascii="Times New Roman" w:hAnsi="Times New Roman" w:cs="Times New Roman"/>
                <w:color w:val="auto"/>
                <w:sz w:val="20"/>
                <w:szCs w:val="20"/>
              </w:rPr>
            </w:pPr>
            <w:r w:rsidRPr="00B7781A">
              <w:rPr>
                <w:rStyle w:val="normaltextrun"/>
                <w:rFonts w:ascii="Times New Roman" w:hAnsi="Times New Roman" w:cs="Times New Roman"/>
                <w:b/>
                <w:bCs/>
                <w:color w:val="auto"/>
                <w:sz w:val="20"/>
                <w:szCs w:val="20"/>
              </w:rPr>
              <w:t>Unable to Assess</w:t>
            </w:r>
          </w:p>
        </w:tc>
      </w:tr>
      <w:tr w:rsidR="007823DE" w:rsidRPr="00B7781A" w14:paraId="4036DC03" w14:textId="77777777" w:rsidTr="000C0280">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EED5BAC" w14:textId="77777777" w:rsidR="007823DE" w:rsidRPr="00B7781A" w:rsidRDefault="007823DE" w:rsidP="000C0280">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TACP1</w:t>
            </w:r>
            <w:r w:rsidRPr="00B7781A">
              <w:rPr>
                <w:rFonts w:ascii="Times New Roman" w:hAnsi="Times New Roman" w:cs="Times New Roman"/>
                <w:sz w:val="20"/>
                <w:szCs w:val="20"/>
              </w:rPr>
              <w:t>: Identifies central components of the change process.</w:t>
            </w:r>
          </w:p>
          <w:p w14:paraId="12E29C25" w14:textId="77777777" w:rsidR="007823DE" w:rsidRPr="00B7781A" w:rsidRDefault="007823DE" w:rsidP="000C0280">
            <w:pPr>
              <w:spacing w:after="0" w:line="240" w:lineRule="auto"/>
              <w:rPr>
                <w:rFonts w:ascii="Times New Roman" w:hAnsi="Times New Roman" w:cs="Times New Roman"/>
                <w:sz w:val="20"/>
                <w:szCs w:val="20"/>
              </w:rPr>
            </w:pPr>
          </w:p>
          <w:p w14:paraId="1A8D0392" w14:textId="77777777" w:rsidR="007823DE" w:rsidRPr="00B7781A" w:rsidRDefault="007823DE" w:rsidP="000C0280">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 xml:space="preserve">: </w:t>
            </w:r>
            <w:r w:rsidRPr="00B7781A">
              <w:rPr>
                <w:rFonts w:ascii="Times New Roman" w:eastAsia="Calibri" w:hAnsi="Times New Roman" w:cs="Times New Roman"/>
                <w:sz w:val="20"/>
                <w:szCs w:val="20"/>
              </w:rPr>
              <w:t>CP1, CP4</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ECEC07F"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Identifies central components of the change process and makes connections to changes in the field.</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CBB946A"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Identifies central components of the change process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53397CE6"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Attempts to identify central components of the change process</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5F796DF4"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Cannot or inaccurately identifies central components of the change process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C00C8" w14:textId="77777777" w:rsidR="007823DE" w:rsidRPr="00B7781A" w:rsidRDefault="007823DE" w:rsidP="000C0280">
            <w:pPr>
              <w:spacing w:after="0" w:line="240" w:lineRule="auto"/>
              <w:rPr>
                <w:rFonts w:ascii="Times New Roman" w:hAnsi="Times New Roman" w:cs="Times New Roman"/>
                <w:sz w:val="20"/>
                <w:szCs w:val="20"/>
              </w:rPr>
            </w:pPr>
          </w:p>
        </w:tc>
      </w:tr>
      <w:tr w:rsidR="007823DE" w:rsidRPr="00B7781A" w14:paraId="52A026FE" w14:textId="77777777" w:rsidTr="000C0280">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3A33363" w14:textId="77777777" w:rsidR="007823DE" w:rsidRPr="00B7781A" w:rsidRDefault="007823DE" w:rsidP="000C0280">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lastRenderedPageBreak/>
              <w:t>TACP2</w:t>
            </w:r>
            <w:r w:rsidRPr="00B7781A">
              <w:rPr>
                <w:rFonts w:ascii="Times New Roman" w:hAnsi="Times New Roman" w:cs="Times New Roman"/>
                <w:sz w:val="20"/>
                <w:szCs w:val="20"/>
              </w:rPr>
              <w:t>:  Facilitates individual readiness for change and the progression through the change process.</w:t>
            </w:r>
          </w:p>
          <w:p w14:paraId="76F71DB3" w14:textId="77777777" w:rsidR="007823DE" w:rsidRPr="00B7781A" w:rsidRDefault="007823DE" w:rsidP="000C0280">
            <w:pPr>
              <w:spacing w:after="0" w:line="240" w:lineRule="auto"/>
              <w:rPr>
                <w:rFonts w:ascii="Times New Roman" w:hAnsi="Times New Roman" w:cs="Times New Roman"/>
                <w:sz w:val="20"/>
                <w:szCs w:val="20"/>
              </w:rPr>
            </w:pPr>
          </w:p>
          <w:p w14:paraId="013B59D6" w14:textId="77777777" w:rsidR="007823DE" w:rsidRPr="00B7781A" w:rsidRDefault="007823DE" w:rsidP="000C0280">
            <w:pPr>
              <w:spacing w:after="0" w:line="240" w:lineRule="auto"/>
              <w:rPr>
                <w:rFonts w:ascii="Times New Roman" w:hAnsi="Times New Roman" w:cs="Times New Roman"/>
              </w:rPr>
            </w:pPr>
            <w:r w:rsidRPr="00B7781A">
              <w:rPr>
                <w:rFonts w:ascii="Times New Roman" w:hAnsi="Times New Roman" w:cs="Times New Roman"/>
                <w:b/>
                <w:sz w:val="20"/>
                <w:szCs w:val="20"/>
              </w:rPr>
              <w:t>TA</w:t>
            </w:r>
            <w:r w:rsidRPr="00B7781A">
              <w:rPr>
                <w:rFonts w:ascii="Times New Roman" w:hAnsi="Times New Roman" w:cs="Times New Roman"/>
                <w:sz w:val="20"/>
                <w:szCs w:val="20"/>
              </w:rPr>
              <w:t>:</w:t>
            </w:r>
            <w:r w:rsidRPr="00B7781A">
              <w:rPr>
                <w:rFonts w:ascii="Times New Roman" w:eastAsia="Calibri" w:hAnsi="Times New Roman" w:cs="Times New Roman"/>
                <w:sz w:val="20"/>
                <w:szCs w:val="20"/>
              </w:rPr>
              <w:t xml:space="preserve"> CP2, CP3</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5CF21951"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Promotes and supports individual readiness for change and the progression through the change process.</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EC22991"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Supports individual readiness for change and the progression through the change process.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9C18F9F"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Supports individual readiness for change.</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1AF8879" w14:textId="77777777" w:rsidR="007823DE" w:rsidRPr="00B7781A" w:rsidRDefault="007823DE" w:rsidP="000C0280">
            <w:pPr>
              <w:pStyle w:val="paragraph"/>
              <w:spacing w:before="0" w:after="0"/>
              <w:rPr>
                <w:rFonts w:cs="Times New Roman"/>
                <w:color w:val="auto"/>
                <w:sz w:val="22"/>
                <w:szCs w:val="22"/>
              </w:rPr>
            </w:pPr>
            <w:r w:rsidRPr="00B7781A">
              <w:rPr>
                <w:rFonts w:cs="Times New Roman"/>
                <w:color w:val="auto"/>
                <w:sz w:val="20"/>
                <w:szCs w:val="20"/>
              </w:rPr>
              <w:t>Neglects or ignores individual needs and/or progression through change and the change process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36F43" w14:textId="77777777" w:rsidR="007823DE" w:rsidRPr="00B7781A" w:rsidRDefault="007823DE" w:rsidP="000C0280">
            <w:pPr>
              <w:spacing w:after="0" w:line="240" w:lineRule="auto"/>
              <w:rPr>
                <w:rFonts w:ascii="Times New Roman" w:hAnsi="Times New Roman" w:cs="Times New Roman"/>
                <w:sz w:val="20"/>
                <w:szCs w:val="20"/>
              </w:rPr>
            </w:pPr>
          </w:p>
        </w:tc>
      </w:tr>
      <w:tr w:rsidR="007823DE" w:rsidRPr="00B7781A" w14:paraId="6BC2E6D1" w14:textId="77777777" w:rsidTr="000C0280">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504CD51" w14:textId="77777777" w:rsidR="007823DE" w:rsidRPr="00B7781A" w:rsidRDefault="007823DE" w:rsidP="000C0280">
            <w:pPr>
              <w:spacing w:after="0" w:line="240" w:lineRule="auto"/>
              <w:rPr>
                <w:rFonts w:ascii="Times New Roman" w:eastAsia="Calibri" w:hAnsi="Times New Roman" w:cs="Times New Roman"/>
                <w:sz w:val="20"/>
                <w:szCs w:val="20"/>
              </w:rPr>
            </w:pPr>
            <w:r w:rsidRPr="00B7781A">
              <w:rPr>
                <w:rFonts w:ascii="Times New Roman" w:hAnsi="Times New Roman" w:cs="Times New Roman"/>
                <w:b/>
                <w:sz w:val="20"/>
                <w:szCs w:val="20"/>
                <w:u w:val="single"/>
              </w:rPr>
              <w:t>TARP1</w:t>
            </w:r>
            <w:r w:rsidRPr="00B7781A">
              <w:rPr>
                <w:rFonts w:ascii="Times New Roman" w:hAnsi="Times New Roman" w:cs="Times New Roman"/>
                <w:sz w:val="20"/>
                <w:szCs w:val="20"/>
              </w:rPr>
              <w:t>:  Reflects on own work and critically explores own practices</w:t>
            </w:r>
            <w:r w:rsidRPr="00B7781A">
              <w:rPr>
                <w:rFonts w:ascii="Times New Roman" w:eastAsia="Calibri" w:hAnsi="Times New Roman" w:cs="Times New Roman"/>
                <w:sz w:val="20"/>
                <w:szCs w:val="20"/>
              </w:rPr>
              <w:t>, biases, values, and behaviors to gain insight into one’s values, knowledge, skills, and dispositions.</w:t>
            </w:r>
          </w:p>
          <w:p w14:paraId="04457D9D" w14:textId="77777777" w:rsidR="007823DE" w:rsidRPr="00B7781A" w:rsidRDefault="007823DE" w:rsidP="000C0280">
            <w:pPr>
              <w:spacing w:after="0" w:line="240" w:lineRule="auto"/>
              <w:rPr>
                <w:rFonts w:ascii="Times New Roman" w:eastAsia="Calibri" w:hAnsi="Times New Roman" w:cs="Times New Roman"/>
                <w:sz w:val="20"/>
                <w:szCs w:val="20"/>
              </w:rPr>
            </w:pPr>
          </w:p>
          <w:p w14:paraId="78F093B3" w14:textId="77777777" w:rsidR="007823DE" w:rsidRPr="00B7781A" w:rsidRDefault="007823DE" w:rsidP="000C0280">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RP4</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05F258D"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 xml:space="preserve">Deeply considers personal knowledge and values and ponders own decisions and practices through a variety of contexts and lenses including, </w:t>
            </w:r>
            <w:r w:rsidRPr="00B7781A">
              <w:rPr>
                <w:rFonts w:eastAsia="Calibri" w:cs="Times New Roman"/>
                <w:sz w:val="20"/>
                <w:szCs w:val="20"/>
              </w:rPr>
              <w:t>biases and values.</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D305EE0"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 xml:space="preserve">Considers and ponders own decisions and practices through a variety of contexts and lenses including, </w:t>
            </w:r>
            <w:r w:rsidRPr="00B7781A">
              <w:rPr>
                <w:rFonts w:eastAsia="Calibri" w:cs="Times New Roman"/>
                <w:sz w:val="20"/>
                <w:szCs w:val="20"/>
              </w:rPr>
              <w:t>biases and values.</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3B48A3E"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 xml:space="preserve">Narrowly considers own decisions and practices through a variety of contexts and lenses including, </w:t>
            </w:r>
            <w:r w:rsidRPr="00B7781A">
              <w:rPr>
                <w:rFonts w:eastAsia="Calibri" w:cs="Times New Roman"/>
                <w:sz w:val="20"/>
                <w:szCs w:val="20"/>
              </w:rPr>
              <w:t>biases and values.</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02868AF"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Ignores biases and/or personal values in reflecting on decisions and practices.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B43A" w14:textId="77777777" w:rsidR="007823DE" w:rsidRPr="00B7781A" w:rsidRDefault="007823DE" w:rsidP="000C0280">
            <w:pPr>
              <w:spacing w:after="0" w:line="240" w:lineRule="auto"/>
              <w:rPr>
                <w:rFonts w:ascii="Times New Roman" w:hAnsi="Times New Roman" w:cs="Times New Roman"/>
                <w:sz w:val="20"/>
                <w:szCs w:val="20"/>
              </w:rPr>
            </w:pPr>
          </w:p>
        </w:tc>
      </w:tr>
      <w:tr w:rsidR="007823DE" w:rsidRPr="00B7781A" w14:paraId="53552AB0" w14:textId="77777777" w:rsidTr="000C0280">
        <w:tblPrEx>
          <w:shd w:val="clear" w:color="auto" w:fill="CED7E7"/>
        </w:tblPrEx>
        <w:trPr>
          <w:gridAfter w:val="1"/>
          <w:wAfter w:w="7" w:type="dxa"/>
          <w:trHeight w:val="602"/>
        </w:trPr>
        <w:tc>
          <w:tcPr>
            <w:tcW w:w="26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F1DC049" w14:textId="77777777" w:rsidR="007823DE" w:rsidRPr="00B7781A" w:rsidRDefault="007823DE" w:rsidP="000C0280">
            <w:pPr>
              <w:spacing w:after="0" w:line="240" w:lineRule="auto"/>
              <w:rPr>
                <w:rFonts w:ascii="Times New Roman" w:hAnsi="Times New Roman" w:cs="Times New Roman"/>
                <w:sz w:val="20"/>
                <w:szCs w:val="20"/>
              </w:rPr>
            </w:pPr>
            <w:r w:rsidRPr="00B7781A">
              <w:rPr>
                <w:rFonts w:ascii="Times New Roman" w:hAnsi="Times New Roman" w:cs="Times New Roman"/>
                <w:b/>
                <w:sz w:val="20"/>
                <w:szCs w:val="20"/>
                <w:u w:val="single"/>
              </w:rPr>
              <w:t>TARP2</w:t>
            </w:r>
            <w:r w:rsidRPr="00B7781A">
              <w:rPr>
                <w:rFonts w:ascii="Times New Roman" w:hAnsi="Times New Roman" w:cs="Times New Roman"/>
                <w:sz w:val="20"/>
                <w:szCs w:val="20"/>
              </w:rPr>
              <w:t xml:space="preserve">: Engages in objective observation and practices and supports flexible perspective taking. </w:t>
            </w:r>
          </w:p>
          <w:p w14:paraId="23667AC7" w14:textId="77777777" w:rsidR="007823DE" w:rsidRPr="00B7781A" w:rsidRDefault="007823DE" w:rsidP="000C0280">
            <w:pPr>
              <w:spacing w:after="0" w:line="240" w:lineRule="auto"/>
              <w:rPr>
                <w:rFonts w:ascii="Times New Roman" w:hAnsi="Times New Roman" w:cs="Times New Roman"/>
                <w:sz w:val="20"/>
                <w:szCs w:val="20"/>
              </w:rPr>
            </w:pPr>
          </w:p>
          <w:p w14:paraId="2D80D7FF" w14:textId="77777777" w:rsidR="007823DE" w:rsidRPr="00B7781A" w:rsidRDefault="007823DE" w:rsidP="000C0280">
            <w:pPr>
              <w:spacing w:after="0" w:line="240" w:lineRule="auto"/>
              <w:rPr>
                <w:rFonts w:ascii="Times New Roman" w:hAnsi="Times New Roman" w:cs="Times New Roman"/>
              </w:rPr>
            </w:pPr>
            <w:r w:rsidRPr="00B7781A">
              <w:rPr>
                <w:rFonts w:ascii="Times New Roman" w:eastAsia="Calibri" w:hAnsi="Times New Roman" w:cs="Times New Roman"/>
                <w:b/>
                <w:sz w:val="20"/>
                <w:szCs w:val="20"/>
              </w:rPr>
              <w:t>TA</w:t>
            </w:r>
            <w:r w:rsidRPr="00B7781A">
              <w:rPr>
                <w:rFonts w:ascii="Times New Roman" w:eastAsia="Calibri" w:hAnsi="Times New Roman" w:cs="Times New Roman"/>
                <w:sz w:val="20"/>
                <w:szCs w:val="20"/>
              </w:rPr>
              <w:t>: RP1, RP7</w:t>
            </w:r>
          </w:p>
        </w:tc>
        <w:tc>
          <w:tcPr>
            <w:tcW w:w="279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2EB11DA"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Models objective observation and practices and encourages, in others through example, flexible perspective taking.</w:t>
            </w:r>
          </w:p>
        </w:tc>
        <w:tc>
          <w:tcPr>
            <w:tcW w:w="270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F18A539"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Utilizes objective observation and practices and encourages flexible perspective taking.</w:t>
            </w:r>
          </w:p>
        </w:tc>
        <w:tc>
          <w:tcPr>
            <w:tcW w:w="252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F874B0D" w14:textId="77777777" w:rsidR="007823DE" w:rsidRPr="00B7781A" w:rsidRDefault="007823DE" w:rsidP="000C0280">
            <w:pPr>
              <w:pStyle w:val="paragraph"/>
              <w:spacing w:before="0" w:after="0"/>
              <w:rPr>
                <w:rFonts w:cs="Times New Roman"/>
                <w:sz w:val="22"/>
                <w:szCs w:val="22"/>
              </w:rPr>
            </w:pPr>
            <w:r w:rsidRPr="00B7781A">
              <w:rPr>
                <w:rFonts w:cs="Times New Roman"/>
                <w:sz w:val="20"/>
                <w:szCs w:val="20"/>
              </w:rPr>
              <w:t>Utilizes objective observation and practices and encourages some perspective taking.</w:t>
            </w:r>
          </w:p>
        </w:tc>
        <w:tc>
          <w:tcPr>
            <w:tcW w:w="254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4573FA4" w14:textId="77777777" w:rsidR="007823DE" w:rsidRPr="00B7781A" w:rsidRDefault="007823DE" w:rsidP="000C0280">
            <w:pPr>
              <w:pStyle w:val="paragraph"/>
              <w:spacing w:before="0" w:after="0"/>
              <w:rPr>
                <w:rFonts w:cs="Times New Roman"/>
                <w:color w:val="auto"/>
                <w:sz w:val="22"/>
                <w:szCs w:val="22"/>
              </w:rPr>
            </w:pPr>
            <w:r w:rsidRPr="00B7781A">
              <w:rPr>
                <w:rFonts w:cs="Times New Roman"/>
                <w:sz w:val="20"/>
                <w:szCs w:val="20"/>
              </w:rPr>
              <w:t>Engages biased observation and practices and/or ignores the perspective of others.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12B41" w14:textId="77777777" w:rsidR="007823DE" w:rsidRPr="00B7781A" w:rsidRDefault="007823DE" w:rsidP="000C0280">
            <w:pPr>
              <w:spacing w:after="0" w:line="240" w:lineRule="auto"/>
              <w:rPr>
                <w:rFonts w:ascii="Times New Roman" w:hAnsi="Times New Roman" w:cs="Times New Roman"/>
                <w:sz w:val="20"/>
                <w:szCs w:val="20"/>
              </w:rPr>
            </w:pPr>
          </w:p>
        </w:tc>
      </w:tr>
    </w:tbl>
    <w:p w14:paraId="63DF566E" w14:textId="638301DB" w:rsidR="00893712" w:rsidRPr="00B01D09" w:rsidRDefault="007823DE" w:rsidP="007823DE">
      <w:pPr>
        <w:pStyle w:val="Body"/>
        <w:widowControl w:val="0"/>
        <w:spacing w:line="240" w:lineRule="auto"/>
        <w:rPr>
          <w:rFonts w:ascii="Times" w:hAnsi="Times"/>
          <w:color w:val="auto"/>
          <w:sz w:val="20"/>
          <w:szCs w:val="20"/>
        </w:rPr>
      </w:pPr>
      <w:r>
        <w:rPr>
          <w:rFonts w:ascii="Times" w:hAnsi="Times"/>
          <w:sz w:val="20"/>
          <w:szCs w:val="20"/>
        </w:rPr>
        <w:t>Level 4 – Beige</w:t>
      </w:r>
    </w:p>
    <w:sectPr w:rsidR="00893712" w:rsidRPr="00B01D09" w:rsidSect="0026757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FFB6" w14:textId="77777777" w:rsidR="002C3F36" w:rsidRDefault="002C3F36" w:rsidP="00FA1AC0">
      <w:pPr>
        <w:spacing w:after="0" w:line="240" w:lineRule="auto"/>
      </w:pPr>
      <w:r>
        <w:separator/>
      </w:r>
    </w:p>
  </w:endnote>
  <w:endnote w:type="continuationSeparator" w:id="0">
    <w:p w14:paraId="47C729EF" w14:textId="77777777" w:rsidR="002C3F36" w:rsidRDefault="002C3F36"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7E03" w14:textId="77777777" w:rsidR="00560E13" w:rsidRDefault="00560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CF3E" w14:textId="77777777" w:rsidR="00560E13" w:rsidRPr="00FA1AC0" w:rsidRDefault="00560E13" w:rsidP="00FA1AC0">
    <w:pPr>
      <w:tabs>
        <w:tab w:val="center" w:pos="4320"/>
        <w:tab w:val="right" w:pos="8640"/>
      </w:tabs>
      <w:spacing w:after="0" w:line="240" w:lineRule="auto"/>
      <w:rPr>
        <w:rFonts w:ascii="Cambria" w:eastAsia="MS Mincho" w:hAnsi="Cambria"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85C9" w14:textId="77777777" w:rsidR="00560E13" w:rsidRDefault="0056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47589" w14:textId="77777777" w:rsidR="002C3F36" w:rsidRDefault="002C3F36" w:rsidP="00FA1AC0">
      <w:pPr>
        <w:spacing w:after="0" w:line="240" w:lineRule="auto"/>
      </w:pPr>
      <w:r>
        <w:separator/>
      </w:r>
    </w:p>
  </w:footnote>
  <w:footnote w:type="continuationSeparator" w:id="0">
    <w:p w14:paraId="2C99BC41" w14:textId="77777777" w:rsidR="002C3F36" w:rsidRDefault="002C3F36" w:rsidP="00FA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3B6B8" w14:textId="77777777" w:rsidR="00560E13" w:rsidRDefault="00560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B2E1" w14:textId="77777777" w:rsidR="00560E13" w:rsidRDefault="00560E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E23" w14:textId="77777777"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23525C"/>
    <w:multiLevelType w:val="hybridMultilevel"/>
    <w:tmpl w:val="93F46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2378"/>
    <w:multiLevelType w:val="hybridMultilevel"/>
    <w:tmpl w:val="F996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C126AE"/>
    <w:multiLevelType w:val="hybridMultilevel"/>
    <w:tmpl w:val="20B64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C19E0"/>
    <w:multiLevelType w:val="hybridMultilevel"/>
    <w:tmpl w:val="BFE06576"/>
    <w:lvl w:ilvl="0" w:tplc="DADCB0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0"/>
  </w:num>
  <w:num w:numId="4">
    <w:abstractNumId w:val="11"/>
  </w:num>
  <w:num w:numId="5">
    <w:abstractNumId w:val="10"/>
  </w:num>
  <w:num w:numId="6">
    <w:abstractNumId w:val="15"/>
  </w:num>
  <w:num w:numId="7">
    <w:abstractNumId w:val="5"/>
  </w:num>
  <w:num w:numId="8">
    <w:abstractNumId w:val="8"/>
  </w:num>
  <w:num w:numId="9">
    <w:abstractNumId w:val="18"/>
  </w:num>
  <w:num w:numId="10">
    <w:abstractNumId w:val="19"/>
  </w:num>
  <w:num w:numId="11">
    <w:abstractNumId w:val="1"/>
  </w:num>
  <w:num w:numId="12">
    <w:abstractNumId w:val="24"/>
  </w:num>
  <w:num w:numId="13">
    <w:abstractNumId w:val="7"/>
  </w:num>
  <w:num w:numId="14">
    <w:abstractNumId w:val="4"/>
  </w:num>
  <w:num w:numId="15">
    <w:abstractNumId w:val="27"/>
  </w:num>
  <w:num w:numId="16">
    <w:abstractNumId w:val="6"/>
  </w:num>
  <w:num w:numId="17">
    <w:abstractNumId w:val="17"/>
  </w:num>
  <w:num w:numId="18">
    <w:abstractNumId w:val="12"/>
  </w:num>
  <w:num w:numId="19">
    <w:abstractNumId w:val="23"/>
  </w:num>
  <w:num w:numId="20">
    <w:abstractNumId w:val="13"/>
  </w:num>
  <w:num w:numId="21">
    <w:abstractNumId w:val="20"/>
  </w:num>
  <w:num w:numId="22">
    <w:abstractNumId w:val="21"/>
  </w:num>
  <w:num w:numId="23">
    <w:abstractNumId w:val="16"/>
  </w:num>
  <w:num w:numId="24">
    <w:abstractNumId w:val="3"/>
  </w:num>
  <w:num w:numId="25">
    <w:abstractNumId w:val="14"/>
  </w:num>
  <w:num w:numId="26">
    <w:abstractNumId w:val="9"/>
  </w:num>
  <w:num w:numId="27">
    <w:abstractNumId w:val="25"/>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925F2"/>
    <w:rsid w:val="000932BD"/>
    <w:rsid w:val="000B15C6"/>
    <w:rsid w:val="000D2436"/>
    <w:rsid w:val="000D4337"/>
    <w:rsid w:val="0010024A"/>
    <w:rsid w:val="00107CD8"/>
    <w:rsid w:val="001176D4"/>
    <w:rsid w:val="001277E8"/>
    <w:rsid w:val="00196F3E"/>
    <w:rsid w:val="001D1958"/>
    <w:rsid w:val="001D44B4"/>
    <w:rsid w:val="001F0A88"/>
    <w:rsid w:val="0021515C"/>
    <w:rsid w:val="00216D62"/>
    <w:rsid w:val="00226CF0"/>
    <w:rsid w:val="002616A8"/>
    <w:rsid w:val="0026546B"/>
    <w:rsid w:val="002659E9"/>
    <w:rsid w:val="00267573"/>
    <w:rsid w:val="002861E6"/>
    <w:rsid w:val="002C3F36"/>
    <w:rsid w:val="002D3C7F"/>
    <w:rsid w:val="002E7AA6"/>
    <w:rsid w:val="002F3F4B"/>
    <w:rsid w:val="00300C09"/>
    <w:rsid w:val="00302375"/>
    <w:rsid w:val="00311473"/>
    <w:rsid w:val="0032153B"/>
    <w:rsid w:val="0032700E"/>
    <w:rsid w:val="0036197D"/>
    <w:rsid w:val="0038446E"/>
    <w:rsid w:val="00395F63"/>
    <w:rsid w:val="003977C5"/>
    <w:rsid w:val="003A3BBB"/>
    <w:rsid w:val="003A440D"/>
    <w:rsid w:val="003B5053"/>
    <w:rsid w:val="003C5454"/>
    <w:rsid w:val="0041253F"/>
    <w:rsid w:val="00440F57"/>
    <w:rsid w:val="004A1E3D"/>
    <w:rsid w:val="004A5AE2"/>
    <w:rsid w:val="004C1ECC"/>
    <w:rsid w:val="004F02E2"/>
    <w:rsid w:val="00560E13"/>
    <w:rsid w:val="00562537"/>
    <w:rsid w:val="00575ACE"/>
    <w:rsid w:val="00583901"/>
    <w:rsid w:val="00584BC6"/>
    <w:rsid w:val="005C3966"/>
    <w:rsid w:val="005C3BC0"/>
    <w:rsid w:val="00630A2D"/>
    <w:rsid w:val="006514C3"/>
    <w:rsid w:val="006539F8"/>
    <w:rsid w:val="006E1997"/>
    <w:rsid w:val="007109E8"/>
    <w:rsid w:val="00712133"/>
    <w:rsid w:val="00730C71"/>
    <w:rsid w:val="00734BB8"/>
    <w:rsid w:val="007356B0"/>
    <w:rsid w:val="007365CA"/>
    <w:rsid w:val="00760F1C"/>
    <w:rsid w:val="007823DE"/>
    <w:rsid w:val="007B4CB6"/>
    <w:rsid w:val="007B5354"/>
    <w:rsid w:val="007E40D7"/>
    <w:rsid w:val="007E61A4"/>
    <w:rsid w:val="00810722"/>
    <w:rsid w:val="008339ED"/>
    <w:rsid w:val="0084147E"/>
    <w:rsid w:val="0084338A"/>
    <w:rsid w:val="00847C37"/>
    <w:rsid w:val="0085464B"/>
    <w:rsid w:val="0085675B"/>
    <w:rsid w:val="00866AD2"/>
    <w:rsid w:val="008734DB"/>
    <w:rsid w:val="00893712"/>
    <w:rsid w:val="00894414"/>
    <w:rsid w:val="008C20EC"/>
    <w:rsid w:val="008D4766"/>
    <w:rsid w:val="00924BD9"/>
    <w:rsid w:val="0092785E"/>
    <w:rsid w:val="00980A5C"/>
    <w:rsid w:val="009D7B43"/>
    <w:rsid w:val="009F230C"/>
    <w:rsid w:val="00A06E26"/>
    <w:rsid w:val="00A21785"/>
    <w:rsid w:val="00A23EC0"/>
    <w:rsid w:val="00A26CD7"/>
    <w:rsid w:val="00A53912"/>
    <w:rsid w:val="00A555DF"/>
    <w:rsid w:val="00A573A7"/>
    <w:rsid w:val="00A60565"/>
    <w:rsid w:val="00AA0774"/>
    <w:rsid w:val="00AA5A34"/>
    <w:rsid w:val="00AB4D59"/>
    <w:rsid w:val="00AC29ED"/>
    <w:rsid w:val="00AD2CCD"/>
    <w:rsid w:val="00AD3423"/>
    <w:rsid w:val="00AE0E0D"/>
    <w:rsid w:val="00B07E7F"/>
    <w:rsid w:val="00B215F3"/>
    <w:rsid w:val="00B506CB"/>
    <w:rsid w:val="00B51733"/>
    <w:rsid w:val="00B77EBD"/>
    <w:rsid w:val="00BA02CE"/>
    <w:rsid w:val="00BA7832"/>
    <w:rsid w:val="00BB57BD"/>
    <w:rsid w:val="00BD5914"/>
    <w:rsid w:val="00BE25B7"/>
    <w:rsid w:val="00C040A1"/>
    <w:rsid w:val="00C04EB5"/>
    <w:rsid w:val="00C26FBB"/>
    <w:rsid w:val="00C367FA"/>
    <w:rsid w:val="00C379DF"/>
    <w:rsid w:val="00C50321"/>
    <w:rsid w:val="00C608D9"/>
    <w:rsid w:val="00C809FB"/>
    <w:rsid w:val="00C83619"/>
    <w:rsid w:val="00C94BD7"/>
    <w:rsid w:val="00D06F1B"/>
    <w:rsid w:val="00D12661"/>
    <w:rsid w:val="00D41DA4"/>
    <w:rsid w:val="00D64630"/>
    <w:rsid w:val="00D7277C"/>
    <w:rsid w:val="00D81B2F"/>
    <w:rsid w:val="00D82377"/>
    <w:rsid w:val="00D84B9F"/>
    <w:rsid w:val="00DB1375"/>
    <w:rsid w:val="00DF3DD2"/>
    <w:rsid w:val="00DF6D19"/>
    <w:rsid w:val="00E16A8E"/>
    <w:rsid w:val="00E27C26"/>
    <w:rsid w:val="00E606CF"/>
    <w:rsid w:val="00E67BD1"/>
    <w:rsid w:val="00E74192"/>
    <w:rsid w:val="00EA12EC"/>
    <w:rsid w:val="00EA4DD4"/>
    <w:rsid w:val="00EA7468"/>
    <w:rsid w:val="00EF6DBD"/>
    <w:rsid w:val="00F17177"/>
    <w:rsid w:val="00F20315"/>
    <w:rsid w:val="00F2225D"/>
    <w:rsid w:val="00F2519E"/>
    <w:rsid w:val="00F574A4"/>
    <w:rsid w:val="00F64B3F"/>
    <w:rsid w:val="00F750D2"/>
    <w:rsid w:val="00FA0BC7"/>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1E3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4A1E3D"/>
    <w:rPr>
      <w:rFonts w:ascii="Times New Roman" w:hAnsi="Times New Roman" w:cs="Times New Roman"/>
      <w:b/>
      <w:bCs/>
      <w:sz w:val="36"/>
      <w:szCs w:val="36"/>
    </w:rPr>
  </w:style>
  <w:style w:type="character" w:customStyle="1" w:styleId="apple-converted-space">
    <w:name w:val="apple-converted-space"/>
    <w:basedOn w:val="DefaultParagraphFont"/>
    <w:rsid w:val="00FA0BC7"/>
  </w:style>
  <w:style w:type="paragraph" w:customStyle="1" w:styleId="Default">
    <w:name w:val="Default"/>
    <w:rsid w:val="002D3C7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1E3D"/>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eading2Char">
    <w:name w:val="Heading 2 Char"/>
    <w:basedOn w:val="DefaultParagraphFont"/>
    <w:link w:val="Heading2"/>
    <w:uiPriority w:val="9"/>
    <w:rsid w:val="004A1E3D"/>
    <w:rPr>
      <w:rFonts w:ascii="Times New Roman" w:hAnsi="Times New Roman" w:cs="Times New Roman"/>
      <w:b/>
      <w:bCs/>
      <w:sz w:val="36"/>
      <w:szCs w:val="36"/>
    </w:rPr>
  </w:style>
  <w:style w:type="character" w:customStyle="1" w:styleId="apple-converted-space">
    <w:name w:val="apple-converted-space"/>
    <w:basedOn w:val="DefaultParagraphFont"/>
    <w:rsid w:val="00FA0BC7"/>
  </w:style>
  <w:style w:type="paragraph" w:customStyle="1" w:styleId="Default">
    <w:name w:val="Default"/>
    <w:rsid w:val="002D3C7F"/>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354">
      <w:bodyDiv w:val="1"/>
      <w:marLeft w:val="0"/>
      <w:marRight w:val="0"/>
      <w:marTop w:val="0"/>
      <w:marBottom w:val="0"/>
      <w:divBdr>
        <w:top w:val="none" w:sz="0" w:space="0" w:color="auto"/>
        <w:left w:val="none" w:sz="0" w:space="0" w:color="auto"/>
        <w:bottom w:val="none" w:sz="0" w:space="0" w:color="auto"/>
        <w:right w:val="none" w:sz="0" w:space="0" w:color="auto"/>
      </w:divBdr>
    </w:div>
    <w:div w:id="531380016">
      <w:bodyDiv w:val="1"/>
      <w:marLeft w:val="0"/>
      <w:marRight w:val="0"/>
      <w:marTop w:val="0"/>
      <w:marBottom w:val="0"/>
      <w:divBdr>
        <w:top w:val="none" w:sz="0" w:space="0" w:color="auto"/>
        <w:left w:val="none" w:sz="0" w:space="0" w:color="auto"/>
        <w:bottom w:val="none" w:sz="0" w:space="0" w:color="auto"/>
        <w:right w:val="none" w:sz="0" w:space="0" w:color="auto"/>
      </w:divBdr>
      <w:divsChild>
        <w:div w:id="954140378">
          <w:marLeft w:val="0"/>
          <w:marRight w:val="0"/>
          <w:marTop w:val="0"/>
          <w:marBottom w:val="0"/>
          <w:divBdr>
            <w:top w:val="none" w:sz="0" w:space="0" w:color="auto"/>
            <w:left w:val="none" w:sz="0" w:space="0" w:color="auto"/>
            <w:bottom w:val="none" w:sz="0" w:space="0" w:color="auto"/>
            <w:right w:val="none" w:sz="0" w:space="0" w:color="auto"/>
          </w:divBdr>
        </w:div>
        <w:div w:id="1930772272">
          <w:marLeft w:val="0"/>
          <w:marRight w:val="0"/>
          <w:marTop w:val="0"/>
          <w:marBottom w:val="0"/>
          <w:divBdr>
            <w:top w:val="none" w:sz="0" w:space="0" w:color="auto"/>
            <w:left w:val="none" w:sz="0" w:space="0" w:color="auto"/>
            <w:bottom w:val="none" w:sz="0" w:space="0" w:color="auto"/>
            <w:right w:val="none" w:sz="0" w:space="0" w:color="auto"/>
          </w:divBdr>
        </w:div>
        <w:div w:id="933173488">
          <w:marLeft w:val="0"/>
          <w:marRight w:val="0"/>
          <w:marTop w:val="0"/>
          <w:marBottom w:val="0"/>
          <w:divBdr>
            <w:top w:val="none" w:sz="0" w:space="0" w:color="auto"/>
            <w:left w:val="none" w:sz="0" w:space="0" w:color="auto"/>
            <w:bottom w:val="none" w:sz="0" w:space="0" w:color="auto"/>
            <w:right w:val="none" w:sz="0" w:space="0" w:color="auto"/>
          </w:divBdr>
        </w:div>
        <w:div w:id="904685956">
          <w:marLeft w:val="0"/>
          <w:marRight w:val="0"/>
          <w:marTop w:val="0"/>
          <w:marBottom w:val="0"/>
          <w:divBdr>
            <w:top w:val="none" w:sz="0" w:space="0" w:color="auto"/>
            <w:left w:val="none" w:sz="0" w:space="0" w:color="auto"/>
            <w:bottom w:val="none" w:sz="0" w:space="0" w:color="auto"/>
            <w:right w:val="none" w:sz="0" w:space="0" w:color="auto"/>
          </w:divBdr>
        </w:div>
      </w:divsChild>
    </w:div>
    <w:div w:id="925382795">
      <w:bodyDiv w:val="1"/>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 w:id="703943835">
          <w:marLeft w:val="0"/>
          <w:marRight w:val="0"/>
          <w:marTop w:val="0"/>
          <w:marBottom w:val="0"/>
          <w:divBdr>
            <w:top w:val="none" w:sz="0" w:space="0" w:color="auto"/>
            <w:left w:val="none" w:sz="0" w:space="0" w:color="auto"/>
            <w:bottom w:val="none" w:sz="0" w:space="0" w:color="auto"/>
            <w:right w:val="none" w:sz="0" w:space="0" w:color="auto"/>
          </w:divBdr>
        </w:div>
        <w:div w:id="1802069748">
          <w:marLeft w:val="0"/>
          <w:marRight w:val="0"/>
          <w:marTop w:val="0"/>
          <w:marBottom w:val="0"/>
          <w:divBdr>
            <w:top w:val="none" w:sz="0" w:space="0" w:color="auto"/>
            <w:left w:val="none" w:sz="0" w:space="0" w:color="auto"/>
            <w:bottom w:val="none" w:sz="0" w:space="0" w:color="auto"/>
            <w:right w:val="none" w:sz="0" w:space="0" w:color="auto"/>
          </w:divBdr>
        </w:div>
        <w:div w:id="1189762135">
          <w:marLeft w:val="0"/>
          <w:marRight w:val="0"/>
          <w:marTop w:val="0"/>
          <w:marBottom w:val="0"/>
          <w:divBdr>
            <w:top w:val="none" w:sz="0" w:space="0" w:color="auto"/>
            <w:left w:val="none" w:sz="0" w:space="0" w:color="auto"/>
            <w:bottom w:val="none" w:sz="0" w:space="0" w:color="auto"/>
            <w:right w:val="none" w:sz="0" w:space="0" w:color="auto"/>
          </w:divBdr>
        </w:div>
        <w:div w:id="679893507">
          <w:marLeft w:val="0"/>
          <w:marRight w:val="0"/>
          <w:marTop w:val="0"/>
          <w:marBottom w:val="0"/>
          <w:divBdr>
            <w:top w:val="none" w:sz="0" w:space="0" w:color="auto"/>
            <w:left w:val="none" w:sz="0" w:space="0" w:color="auto"/>
            <w:bottom w:val="none" w:sz="0" w:space="0" w:color="auto"/>
            <w:right w:val="none" w:sz="0" w:space="0" w:color="auto"/>
          </w:divBdr>
        </w:div>
        <w:div w:id="1078867796">
          <w:marLeft w:val="0"/>
          <w:marRight w:val="0"/>
          <w:marTop w:val="0"/>
          <w:marBottom w:val="0"/>
          <w:divBdr>
            <w:top w:val="none" w:sz="0" w:space="0" w:color="auto"/>
            <w:left w:val="none" w:sz="0" w:space="0" w:color="auto"/>
            <w:bottom w:val="none" w:sz="0" w:space="0" w:color="auto"/>
            <w:right w:val="none" w:sz="0" w:space="0" w:color="auto"/>
          </w:divBdr>
        </w:div>
        <w:div w:id="840394763">
          <w:marLeft w:val="0"/>
          <w:marRight w:val="0"/>
          <w:marTop w:val="0"/>
          <w:marBottom w:val="0"/>
          <w:divBdr>
            <w:top w:val="none" w:sz="0" w:space="0" w:color="auto"/>
            <w:left w:val="none" w:sz="0" w:space="0" w:color="auto"/>
            <w:bottom w:val="none" w:sz="0" w:space="0" w:color="auto"/>
            <w:right w:val="none" w:sz="0" w:space="0" w:color="auto"/>
          </w:divBdr>
        </w:div>
        <w:div w:id="548997516">
          <w:marLeft w:val="0"/>
          <w:marRight w:val="0"/>
          <w:marTop w:val="0"/>
          <w:marBottom w:val="0"/>
          <w:divBdr>
            <w:top w:val="none" w:sz="0" w:space="0" w:color="auto"/>
            <w:left w:val="none" w:sz="0" w:space="0" w:color="auto"/>
            <w:bottom w:val="none" w:sz="0" w:space="0" w:color="auto"/>
            <w:right w:val="none" w:sz="0" w:space="0" w:color="auto"/>
          </w:divBdr>
        </w:div>
        <w:div w:id="1459181847">
          <w:marLeft w:val="0"/>
          <w:marRight w:val="0"/>
          <w:marTop w:val="0"/>
          <w:marBottom w:val="0"/>
          <w:divBdr>
            <w:top w:val="none" w:sz="0" w:space="0" w:color="auto"/>
            <w:left w:val="none" w:sz="0" w:space="0" w:color="auto"/>
            <w:bottom w:val="none" w:sz="0" w:space="0" w:color="auto"/>
            <w:right w:val="none" w:sz="0" w:space="0" w:color="auto"/>
          </w:divBdr>
        </w:div>
        <w:div w:id="1989046248">
          <w:marLeft w:val="0"/>
          <w:marRight w:val="0"/>
          <w:marTop w:val="0"/>
          <w:marBottom w:val="0"/>
          <w:divBdr>
            <w:top w:val="none" w:sz="0" w:space="0" w:color="auto"/>
            <w:left w:val="none" w:sz="0" w:space="0" w:color="auto"/>
            <w:bottom w:val="none" w:sz="0" w:space="0" w:color="auto"/>
            <w:right w:val="none" w:sz="0" w:space="0" w:color="auto"/>
          </w:divBdr>
        </w:div>
        <w:div w:id="1492333993">
          <w:marLeft w:val="0"/>
          <w:marRight w:val="0"/>
          <w:marTop w:val="0"/>
          <w:marBottom w:val="0"/>
          <w:divBdr>
            <w:top w:val="none" w:sz="0" w:space="0" w:color="auto"/>
            <w:left w:val="none" w:sz="0" w:space="0" w:color="auto"/>
            <w:bottom w:val="none" w:sz="0" w:space="0" w:color="auto"/>
            <w:right w:val="none" w:sz="0" w:space="0" w:color="auto"/>
          </w:divBdr>
          <w:divsChild>
            <w:div w:id="651444865">
              <w:marLeft w:val="0"/>
              <w:marRight w:val="0"/>
              <w:marTop w:val="0"/>
              <w:marBottom w:val="480"/>
              <w:divBdr>
                <w:top w:val="none" w:sz="0" w:space="0" w:color="auto"/>
                <w:left w:val="none" w:sz="0" w:space="0" w:color="auto"/>
                <w:bottom w:val="none" w:sz="0" w:space="0" w:color="auto"/>
                <w:right w:val="none" w:sz="0" w:space="0" w:color="auto"/>
              </w:divBdr>
              <w:divsChild>
                <w:div w:id="1116755508">
                  <w:marLeft w:val="0"/>
                  <w:marRight w:val="0"/>
                  <w:marTop w:val="0"/>
                  <w:marBottom w:val="0"/>
                  <w:divBdr>
                    <w:top w:val="none" w:sz="0" w:space="0" w:color="auto"/>
                    <w:left w:val="none" w:sz="0" w:space="0" w:color="auto"/>
                    <w:bottom w:val="none" w:sz="0" w:space="0" w:color="auto"/>
                    <w:right w:val="none" w:sz="0" w:space="0" w:color="auto"/>
                  </w:divBdr>
                  <w:divsChild>
                    <w:div w:id="13606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441">
      <w:bodyDiv w:val="1"/>
      <w:marLeft w:val="0"/>
      <w:marRight w:val="0"/>
      <w:marTop w:val="0"/>
      <w:marBottom w:val="0"/>
      <w:divBdr>
        <w:top w:val="none" w:sz="0" w:space="0" w:color="auto"/>
        <w:left w:val="none" w:sz="0" w:space="0" w:color="auto"/>
        <w:bottom w:val="none" w:sz="0" w:space="0" w:color="auto"/>
        <w:right w:val="none" w:sz="0" w:space="0" w:color="auto"/>
      </w:divBdr>
      <w:divsChild>
        <w:div w:id="1381594459">
          <w:marLeft w:val="0"/>
          <w:marRight w:val="0"/>
          <w:marTop w:val="0"/>
          <w:marBottom w:val="0"/>
          <w:divBdr>
            <w:top w:val="none" w:sz="0" w:space="0" w:color="auto"/>
            <w:left w:val="none" w:sz="0" w:space="0" w:color="auto"/>
            <w:bottom w:val="none" w:sz="0" w:space="0" w:color="auto"/>
            <w:right w:val="none" w:sz="0" w:space="0" w:color="auto"/>
          </w:divBdr>
        </w:div>
        <w:div w:id="1418361185">
          <w:marLeft w:val="0"/>
          <w:marRight w:val="0"/>
          <w:marTop w:val="0"/>
          <w:marBottom w:val="0"/>
          <w:divBdr>
            <w:top w:val="none" w:sz="0" w:space="0" w:color="auto"/>
            <w:left w:val="none" w:sz="0" w:space="0" w:color="auto"/>
            <w:bottom w:val="none" w:sz="0" w:space="0" w:color="auto"/>
            <w:right w:val="none" w:sz="0" w:space="0" w:color="auto"/>
          </w:divBdr>
        </w:div>
        <w:div w:id="707292307">
          <w:marLeft w:val="0"/>
          <w:marRight w:val="0"/>
          <w:marTop w:val="0"/>
          <w:marBottom w:val="0"/>
          <w:divBdr>
            <w:top w:val="none" w:sz="0" w:space="0" w:color="auto"/>
            <w:left w:val="none" w:sz="0" w:space="0" w:color="auto"/>
            <w:bottom w:val="none" w:sz="0" w:space="0" w:color="auto"/>
            <w:right w:val="none" w:sz="0" w:space="0" w:color="auto"/>
          </w:divBdr>
        </w:div>
        <w:div w:id="1665817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2</cp:revision>
  <cp:lastPrinted>2011-09-15T19:02:00Z</cp:lastPrinted>
  <dcterms:created xsi:type="dcterms:W3CDTF">2017-05-23T19:46:00Z</dcterms:created>
  <dcterms:modified xsi:type="dcterms:W3CDTF">2017-05-23T19:46:00Z</dcterms:modified>
</cp:coreProperties>
</file>